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Cuadrculamediana2-nfasis3"/>
        <w:tblW w:w="13438" w:type="dxa"/>
        <w:tblBorders>
          <w:top w:val="single" w:sz="12" w:space="0" w:color="9BBB59" w:themeColor="accent3"/>
          <w:left w:val="single" w:sz="12" w:space="0" w:color="9BBB59" w:themeColor="accent3"/>
          <w:bottom w:val="single" w:sz="12" w:space="0" w:color="9BBB59" w:themeColor="accent3"/>
          <w:right w:val="single" w:sz="12" w:space="0" w:color="9BBB59" w:themeColor="accent3"/>
        </w:tblBorders>
        <w:tblLook w:val="04A0"/>
      </w:tblPr>
      <w:tblGrid>
        <w:gridCol w:w="3360"/>
        <w:gridCol w:w="3360"/>
        <w:gridCol w:w="3359"/>
        <w:gridCol w:w="3359"/>
      </w:tblGrid>
      <w:tr w:rsidR="00891B52">
        <w:trPr>
          <w:cnfStyle w:val="100000000000"/>
          <w:trHeight w:val="603"/>
        </w:trPr>
        <w:tc>
          <w:tcPr>
            <w:cnfStyle w:val="001000000100"/>
            <w:tcW w:w="3360" w:type="dxa"/>
            <w:tcBorders>
              <w:top w:val="single" w:sz="12" w:space="0" w:color="9BBB59" w:themeColor="accent3"/>
            </w:tcBorders>
          </w:tcPr>
          <w:p w:rsidR="00891B52" w:rsidRDefault="00891B52">
            <w:r>
              <w:t>Aspecto</w:t>
            </w:r>
          </w:p>
        </w:tc>
        <w:tc>
          <w:tcPr>
            <w:tcW w:w="3360" w:type="dxa"/>
            <w:tcBorders>
              <w:top w:val="single" w:sz="12" w:space="0" w:color="9BBB59" w:themeColor="accent3"/>
            </w:tcBorders>
          </w:tcPr>
          <w:p w:rsidR="00891B52" w:rsidRDefault="00891B52">
            <w:pPr>
              <w:cnfStyle w:val="100000000000"/>
            </w:pPr>
            <w:r>
              <w:t>Crónica de una muerte anunciada</w:t>
            </w:r>
          </w:p>
        </w:tc>
        <w:tc>
          <w:tcPr>
            <w:tcW w:w="3359" w:type="dxa"/>
            <w:tcBorders>
              <w:top w:val="single" w:sz="12" w:space="0" w:color="9BBB59" w:themeColor="accent3"/>
            </w:tcBorders>
          </w:tcPr>
          <w:p w:rsidR="00891B52" w:rsidRDefault="00891B52">
            <w:pPr>
              <w:cnfStyle w:val="100000000000"/>
            </w:pPr>
            <w:r>
              <w:t>Pedro Páramo</w:t>
            </w:r>
          </w:p>
        </w:tc>
        <w:tc>
          <w:tcPr>
            <w:tcW w:w="3359" w:type="dxa"/>
            <w:tcBorders>
              <w:top w:val="single" w:sz="12" w:space="0" w:color="9BBB59" w:themeColor="accent3"/>
            </w:tcBorders>
          </w:tcPr>
          <w:p w:rsidR="00891B52" w:rsidRDefault="00891B52">
            <w:pPr>
              <w:cnfStyle w:val="100000000000"/>
            </w:pPr>
            <w:r>
              <w:t>Aura</w:t>
            </w:r>
          </w:p>
        </w:tc>
      </w:tr>
      <w:tr w:rsidR="00891B52">
        <w:trPr>
          <w:cnfStyle w:val="000000100000"/>
          <w:trHeight w:val="603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</w:tcBorders>
          </w:tcPr>
          <w:p w:rsidR="00891B52" w:rsidRDefault="00891B52">
            <w:r>
              <w:t>Autor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100000"/>
            </w:pPr>
            <w:r>
              <w:t>Gabriel García Márquez (1928, Aracataca, Colombia)-Premio Nobel en 1982 (Cien Años de soledad)</w:t>
            </w: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</w:tr>
      <w:tr w:rsidR="00891B52">
        <w:trPr>
          <w:trHeight w:val="603"/>
        </w:trPr>
        <w:tc>
          <w:tcPr>
            <w:cnfStyle w:val="001000000000"/>
            <w:tcW w:w="3360" w:type="dxa"/>
          </w:tcPr>
          <w:p w:rsidR="00891B52" w:rsidRDefault="00891B52">
            <w:r>
              <w:t>Tendencia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000000"/>
            </w:pPr>
            <w:r>
              <w:t>Boom latinoamericano-</w:t>
            </w:r>
            <w:r w:rsidR="00932C48">
              <w:t xml:space="preserve"> </w:t>
            </w:r>
            <w:r>
              <w:t>Realismo Mágico</w:t>
            </w: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</w:tr>
      <w:tr w:rsidR="00891B52">
        <w:trPr>
          <w:cnfStyle w:val="000000100000"/>
          <w:trHeight w:val="603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</w:tcBorders>
          </w:tcPr>
          <w:p w:rsidR="00891B52" w:rsidRDefault="00891B52">
            <w:r>
              <w:t>Género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100000"/>
            </w:pPr>
            <w:r>
              <w:t>Novela-Crónica</w:t>
            </w: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</w:tr>
      <w:tr w:rsidR="00891B52">
        <w:trPr>
          <w:trHeight w:val="603"/>
        </w:trPr>
        <w:tc>
          <w:tcPr>
            <w:cnfStyle w:val="001000000000"/>
            <w:tcW w:w="3360" w:type="dxa"/>
          </w:tcPr>
          <w:p w:rsidR="00891B52" w:rsidRDefault="00891B52">
            <w:r>
              <w:t>Asunto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000000"/>
            </w:pPr>
            <w:r>
              <w:t xml:space="preserve">Se relata la serie de eventos que desembocan en el  asesinato de Santiago </w:t>
            </w:r>
            <w:proofErr w:type="spellStart"/>
            <w:r>
              <w:t>Nasar</w:t>
            </w:r>
            <w:proofErr w:type="spellEnd"/>
            <w:r>
              <w:t xml:space="preserve"> por parte de los gemelos Vicario.</w:t>
            </w: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</w:tr>
      <w:tr w:rsidR="00891B52">
        <w:trPr>
          <w:cnfStyle w:val="000000100000"/>
          <w:trHeight w:val="603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</w:tcBorders>
          </w:tcPr>
          <w:p w:rsidR="00891B52" w:rsidRDefault="00891B52">
            <w:r>
              <w:t>Ámbito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100000"/>
            </w:pPr>
            <w:r>
              <w:t xml:space="preserve">Colombia-costa atlántica. El relato se desarrolla durante el periodo de enfrentamiento entre liberales y conservadores conocido como “la violencia” </w:t>
            </w: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</w:tr>
      <w:tr w:rsidR="00891B52">
        <w:trPr>
          <w:trHeight w:val="603"/>
        </w:trPr>
        <w:tc>
          <w:tcPr>
            <w:cnfStyle w:val="001000000000"/>
            <w:tcW w:w="3360" w:type="dxa"/>
          </w:tcPr>
          <w:p w:rsidR="00891B52" w:rsidRDefault="00891B52">
            <w:r>
              <w:t>Narrador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000000"/>
            </w:pPr>
            <w:r>
              <w:t xml:space="preserve">Homodiegético </w:t>
            </w:r>
            <w:r w:rsidR="00052A35">
              <w:t>con focalización externa</w:t>
            </w: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</w:tr>
      <w:tr w:rsidR="00891B52">
        <w:trPr>
          <w:cnfStyle w:val="000000100000"/>
          <w:trHeight w:val="568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  <w:bottom w:val="none" w:sz="0" w:space="0" w:color="auto"/>
            </w:tcBorders>
          </w:tcPr>
          <w:p w:rsidR="00891B52" w:rsidRDefault="00891B52">
            <w:r>
              <w:t>Personajes</w:t>
            </w:r>
          </w:p>
        </w:tc>
        <w:tc>
          <w:tcPr>
            <w:tcW w:w="3360" w:type="dxa"/>
          </w:tcPr>
          <w:p w:rsidR="00891B52" w:rsidRDefault="00891B52" w:rsidP="006830C1">
            <w:pPr>
              <w:jc w:val="both"/>
              <w:cnfStyle w:val="000000100000"/>
            </w:pPr>
            <w:r>
              <w:t xml:space="preserve">Santiago </w:t>
            </w:r>
            <w:proofErr w:type="spellStart"/>
            <w:r>
              <w:t>Nasar</w:t>
            </w:r>
            <w:proofErr w:type="spellEnd"/>
            <w:r>
              <w:t>, Ángela Vicario, Hermanos Vicario, Purís</w:t>
            </w:r>
            <w:r w:rsidR="00052A35">
              <w:t>i</w:t>
            </w:r>
            <w:r>
              <w:t>ma Vicario, Bayardo San Román</w:t>
            </w:r>
            <w:r w:rsidR="00052A35">
              <w:t xml:space="preserve"> y familia</w:t>
            </w:r>
            <w:r>
              <w:t xml:space="preserve">, Plácida Linero, María Alejandrina Cervantes, </w:t>
            </w:r>
            <w:r w:rsidR="00052A35">
              <w:t xml:space="preserve">Cristo Bedoya, Victoria Guzmán, Clotilde Armenta, Divina Flor, Dionisio Iguarán, Viudo de </w:t>
            </w:r>
            <w:proofErr w:type="spellStart"/>
            <w:r w:rsidR="00052A35">
              <w:t>Xius</w:t>
            </w:r>
            <w:proofErr w:type="spellEnd"/>
            <w:r w:rsidR="00052A35">
              <w:t>, Narrador.</w:t>
            </w: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</w:tr>
      <w:tr w:rsidR="00891B52">
        <w:trPr>
          <w:trHeight w:val="568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  <w:bottom w:val="none" w:sz="0" w:space="0" w:color="auto"/>
            </w:tcBorders>
          </w:tcPr>
          <w:p w:rsidR="00891B52" w:rsidRDefault="00891B52">
            <w:r>
              <w:t>Espacio</w:t>
            </w:r>
          </w:p>
        </w:tc>
        <w:tc>
          <w:tcPr>
            <w:tcW w:w="3360" w:type="dxa"/>
          </w:tcPr>
          <w:p w:rsidR="00891B52" w:rsidRDefault="00B63D94" w:rsidP="006830C1">
            <w:pPr>
              <w:jc w:val="both"/>
              <w:cnfStyle w:val="000000000000"/>
            </w:pPr>
            <w:r>
              <w:t xml:space="preserve">El pueblo se configura como el espacio tópico, pero éste se divide en espacios de menor magnitud en donde ocurre un fragmento de la acción, por lo cual se configuran como </w:t>
            </w:r>
            <w:proofErr w:type="spellStart"/>
            <w:r>
              <w:t>heterotópicos</w:t>
            </w:r>
            <w:proofErr w:type="spellEnd"/>
            <w:r>
              <w:t xml:space="preserve">. Entre estos están la casa de Santiago </w:t>
            </w:r>
            <w:proofErr w:type="spellStart"/>
            <w:r>
              <w:t>Nasar</w:t>
            </w:r>
            <w:proofErr w:type="spellEnd"/>
            <w:r>
              <w:t xml:space="preserve">, la tienda de Clotilde Armenta, la plaza del pueblo, la quinta de </w:t>
            </w:r>
            <w:proofErr w:type="spellStart"/>
            <w:r>
              <w:t>Xius</w:t>
            </w:r>
            <w:proofErr w:type="spellEnd"/>
            <w:r>
              <w:t>, la casa de los Vicario, la casa de placer de María Alejandrina Cervantes, el puerto. Además, hay espacios referenciales dentro de la obra, como lo es Riohacha.</w:t>
            </w: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</w:tr>
      <w:tr w:rsidR="00891B52">
        <w:trPr>
          <w:cnfStyle w:val="000000100000"/>
          <w:trHeight w:val="568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  <w:bottom w:val="none" w:sz="0" w:space="0" w:color="auto"/>
            </w:tcBorders>
          </w:tcPr>
          <w:p w:rsidR="00891B52" w:rsidRDefault="00891B52">
            <w:r>
              <w:t>Tiempo</w:t>
            </w:r>
          </w:p>
        </w:tc>
        <w:tc>
          <w:tcPr>
            <w:tcW w:w="3360" w:type="dxa"/>
          </w:tcPr>
          <w:p w:rsidR="00891B52" w:rsidRDefault="006830C1" w:rsidP="006830C1">
            <w:pPr>
              <w:jc w:val="both"/>
              <w:cnfStyle w:val="000000100000"/>
            </w:pPr>
            <w:r>
              <w:t xml:space="preserve">El narrador recopila los recuerdos de los personajes involucrados y narra la historia desde el futuro, lo cual implica una estructura </w:t>
            </w:r>
            <w:r>
              <w:rPr>
                <w:i/>
              </w:rPr>
              <w:t>in extrema res</w:t>
            </w:r>
            <w:r>
              <w:t xml:space="preserve">. El relato es anacrónico, pues el autor lo ordena de tal manera que se narren los eventos antes y después del homicidio, el cual solo se consuma al final. Hay, además, prolepsis y </w:t>
            </w:r>
            <w:proofErr w:type="spellStart"/>
            <w:r>
              <w:t>analepsis</w:t>
            </w:r>
            <w:proofErr w:type="spellEnd"/>
            <w:r>
              <w:t xml:space="preserve"> en las cuales se cuenta</w:t>
            </w:r>
            <w:r w:rsidR="00932C48">
              <w:t xml:space="preserve">n historias secundarias, como lo son la relación entre María Alejandrina Cervantes y Santiago </w:t>
            </w:r>
            <w:proofErr w:type="spellStart"/>
            <w:r w:rsidR="00932C48">
              <w:t>Nasar</w:t>
            </w:r>
            <w:proofErr w:type="spellEnd"/>
            <w:r w:rsidR="00932C48">
              <w:t xml:space="preserve"> o la vida de Ibrahim </w:t>
            </w:r>
            <w:proofErr w:type="spellStart"/>
            <w:r w:rsidR="00932C48">
              <w:t>Nasar</w:t>
            </w:r>
            <w:proofErr w:type="spellEnd"/>
            <w:r w:rsidR="00932C48">
              <w:t>.</w:t>
            </w: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100000"/>
            </w:pPr>
          </w:p>
        </w:tc>
      </w:tr>
      <w:tr w:rsidR="00891B52">
        <w:trPr>
          <w:trHeight w:val="568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  <w:bottom w:val="none" w:sz="0" w:space="0" w:color="auto"/>
            </w:tcBorders>
          </w:tcPr>
          <w:p w:rsidR="00891B52" w:rsidRDefault="00891B52">
            <w:r>
              <w:t>Título</w:t>
            </w:r>
          </w:p>
        </w:tc>
        <w:tc>
          <w:tcPr>
            <w:tcW w:w="3360" w:type="dxa"/>
          </w:tcPr>
          <w:p w:rsidR="00891B52" w:rsidRDefault="006830C1">
            <w:pPr>
              <w:cnfStyle w:val="000000000000"/>
            </w:pPr>
            <w:r>
              <w:t xml:space="preserve">Mixto- Es </w:t>
            </w:r>
            <w:proofErr w:type="spellStart"/>
            <w:r>
              <w:t>remático</w:t>
            </w:r>
            <w:proofErr w:type="spellEnd"/>
            <w:r>
              <w:t xml:space="preserve"> y temático</w:t>
            </w: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  <w:tc>
          <w:tcPr>
            <w:tcW w:w="3359" w:type="dxa"/>
          </w:tcPr>
          <w:p w:rsidR="00891B52" w:rsidRDefault="00891B52">
            <w:pPr>
              <w:cnfStyle w:val="000000000000"/>
            </w:pPr>
          </w:p>
        </w:tc>
      </w:tr>
      <w:tr w:rsidR="00891B52">
        <w:trPr>
          <w:cnfStyle w:val="000000100000"/>
          <w:trHeight w:val="568"/>
        </w:trPr>
        <w:tc>
          <w:tcPr>
            <w:cnfStyle w:val="001000000000"/>
            <w:tcW w:w="3360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:rsidR="00891B52" w:rsidRDefault="00891B52">
            <w:r>
              <w:t>Demás</w:t>
            </w:r>
          </w:p>
        </w:tc>
        <w:tc>
          <w:tcPr>
            <w:tcW w:w="3360" w:type="dxa"/>
            <w:tcBorders>
              <w:bottom w:val="single" w:sz="12" w:space="0" w:color="9BBB59" w:themeColor="accent3"/>
            </w:tcBorders>
          </w:tcPr>
          <w:p w:rsidR="006830C1" w:rsidRDefault="006830C1">
            <w:pPr>
              <w:cnfStyle w:val="000000100000"/>
            </w:pPr>
            <w:r>
              <w:t xml:space="preserve">-Hay un fuerte énfasis en el hecho de que todo el pueblo supiese que iban a matar a Santiago </w:t>
            </w:r>
            <w:proofErr w:type="spellStart"/>
            <w:r>
              <w:t>Nasar</w:t>
            </w:r>
            <w:proofErr w:type="spellEnd"/>
            <w:r>
              <w:t xml:space="preserve">. </w:t>
            </w:r>
          </w:p>
          <w:p w:rsidR="00932C48" w:rsidRDefault="006830C1">
            <w:pPr>
              <w:cnfStyle w:val="000000100000"/>
            </w:pPr>
            <w:r>
              <w:t>-</w:t>
            </w:r>
            <w:r w:rsidR="00932C48">
              <w:t xml:space="preserve">Hay una conexión con Cien Años de Soledad, puesto que se alude al hecho de que Petronio San Román lucho contra el Coronel Aureliano Buendía. </w:t>
            </w:r>
          </w:p>
          <w:p w:rsidR="006830C1" w:rsidRPr="00932C48" w:rsidRDefault="00932C48">
            <w:pPr>
              <w:cnfStyle w:val="000000100000"/>
            </w:pPr>
            <w:r>
              <w:t>-Uso recurrente de</w:t>
            </w:r>
            <w:r>
              <w:rPr>
                <w:i/>
              </w:rPr>
              <w:t xml:space="preserve"> memento </w:t>
            </w:r>
            <w:proofErr w:type="spellStart"/>
            <w:r>
              <w:rPr>
                <w:i/>
              </w:rPr>
              <w:t>mori</w:t>
            </w:r>
            <w:proofErr w:type="spellEnd"/>
            <w:r>
              <w:t xml:space="preserve">, o elementos alusivos a la muerte (en este caso la de Santiago </w:t>
            </w:r>
            <w:proofErr w:type="spellStart"/>
            <w:r>
              <w:t>Nassar</w:t>
            </w:r>
            <w:proofErr w:type="spellEnd"/>
            <w:r>
              <w:t>).</w:t>
            </w:r>
          </w:p>
          <w:p w:rsidR="00891B52" w:rsidRDefault="00891B52">
            <w:pPr>
              <w:cnfStyle w:val="000000100000"/>
            </w:pPr>
          </w:p>
        </w:tc>
        <w:tc>
          <w:tcPr>
            <w:tcW w:w="3359" w:type="dxa"/>
            <w:tcBorders>
              <w:bottom w:val="single" w:sz="12" w:space="0" w:color="9BBB59" w:themeColor="accent3"/>
            </w:tcBorders>
          </w:tcPr>
          <w:p w:rsidR="00891B52" w:rsidRDefault="00891B52">
            <w:pPr>
              <w:cnfStyle w:val="000000100000"/>
            </w:pPr>
          </w:p>
        </w:tc>
        <w:tc>
          <w:tcPr>
            <w:tcW w:w="3359" w:type="dxa"/>
            <w:tcBorders>
              <w:bottom w:val="single" w:sz="12" w:space="0" w:color="9BBB59" w:themeColor="accent3"/>
            </w:tcBorders>
          </w:tcPr>
          <w:p w:rsidR="00891B52" w:rsidRDefault="00891B52">
            <w:pPr>
              <w:cnfStyle w:val="000000100000"/>
            </w:pPr>
          </w:p>
        </w:tc>
      </w:tr>
    </w:tbl>
    <w:p w:rsidR="00891B52" w:rsidRDefault="00891B52"/>
    <w:sectPr w:rsidR="00891B52" w:rsidSect="00891B52">
      <w:pgSz w:w="15840" w:h="12240" w:orient="landscape"/>
      <w:pgMar w:top="1701" w:right="1417" w:bottom="1701" w:left="1417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91B52"/>
    <w:rsid w:val="00052A35"/>
    <w:rsid w:val="006830C1"/>
    <w:rsid w:val="00891B52"/>
    <w:rsid w:val="00932C48"/>
    <w:rsid w:val="00B63D94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5A"/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table" w:styleId="Cuadrculamediana2-nfasis3">
    <w:name w:val="Medium Grid 2 Accent 3"/>
    <w:basedOn w:val="Tablanormal"/>
    <w:uiPriority w:val="68"/>
    <w:rsid w:val="00891B52"/>
    <w:pPr>
      <w:spacing w:after="0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s-ES_tradnl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265</Words>
  <Characters>1512</Characters>
  <Application>Microsoft Word 12.0.0</Application>
  <DocSecurity>0</DocSecurity>
  <Lines>12</Lines>
  <Paragraphs>3</Paragraphs>
  <ScaleCrop>false</ScaleCrop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oswaldo gomez</dc:creator>
  <cp:keywords/>
  <cp:lastModifiedBy>oswaldo gomez</cp:lastModifiedBy>
  <cp:revision>1</cp:revision>
  <dcterms:created xsi:type="dcterms:W3CDTF">2013-03-17T19:47:00Z</dcterms:created>
  <dcterms:modified xsi:type="dcterms:W3CDTF">2013-03-17T21:06:00Z</dcterms:modified>
</cp:coreProperties>
</file>